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E75E8" w14:textId="36085E08" w:rsidR="00421A08" w:rsidRPr="00421A08" w:rsidRDefault="00421A08" w:rsidP="00421A08">
      <w:pPr>
        <w:spacing w:line="360" w:lineRule="auto"/>
        <w:rPr>
          <w:rFonts w:ascii="Arial" w:hAnsi="Arial" w:cs="Arial"/>
          <w:b/>
          <w:bCs/>
          <w:sz w:val="20"/>
          <w:szCs w:val="20"/>
        </w:rPr>
      </w:pPr>
      <w:r w:rsidRPr="00421A08">
        <w:rPr>
          <w:rFonts w:ascii="Arial" w:hAnsi="Arial" w:cs="Arial"/>
          <w:b/>
          <w:bCs/>
          <w:sz w:val="20"/>
          <w:szCs w:val="20"/>
        </w:rPr>
        <w:t>Zmiany w Kodeksie postępowania cywilnego związane z obowiązkiem dalszego zatrudniania pracownika podczas sporów o bezskuteczność wypowiedzenia umowy o pracę lub o przywrócenie do pracy</w:t>
      </w:r>
    </w:p>
    <w:p w14:paraId="468D76A1" w14:textId="77777777" w:rsidR="00421A08" w:rsidRPr="00421A08" w:rsidRDefault="00421A08" w:rsidP="00421A08">
      <w:pPr>
        <w:spacing w:line="360" w:lineRule="auto"/>
        <w:rPr>
          <w:rFonts w:ascii="Arial" w:hAnsi="Arial" w:cs="Arial"/>
          <w:sz w:val="20"/>
          <w:szCs w:val="20"/>
        </w:rPr>
      </w:pPr>
      <w:r w:rsidRPr="00421A08">
        <w:rPr>
          <w:rFonts w:ascii="Arial" w:hAnsi="Arial" w:cs="Arial"/>
          <w:sz w:val="20"/>
          <w:szCs w:val="20"/>
        </w:rPr>
        <w:t xml:space="preserve">22 września br. weszły w życie zmiany dotyczące sporów z zakresu prawa pracy. Wiążą się one z obowiązkiem pracodawcy dalszego zatrudniania pracowników podczas trwania sporów o bezskuteczność wypowiedzenia umowy o pracę albo o przywrócenie do pracy. Oznacza to znaczne zwiększenie uprzywilejowania zwalnianych pracowników i ograniczenie swobody decyzyjności sądu. </w:t>
      </w:r>
    </w:p>
    <w:p w14:paraId="51E2968F" w14:textId="5D993A7A" w:rsidR="00421A08" w:rsidRPr="00421A08" w:rsidRDefault="00421A08" w:rsidP="00421A08">
      <w:pPr>
        <w:pStyle w:val="firefox"/>
        <w:spacing w:line="360" w:lineRule="auto"/>
        <w:rPr>
          <w:rFonts w:ascii="Arial" w:hAnsi="Arial" w:cs="Arial"/>
          <w:sz w:val="20"/>
          <w:szCs w:val="20"/>
        </w:rPr>
      </w:pPr>
      <w:r w:rsidRPr="00421A08">
        <w:rPr>
          <w:rFonts w:ascii="Arial" w:hAnsi="Arial" w:cs="Arial"/>
          <w:b/>
          <w:bCs/>
          <w:sz w:val="20"/>
          <w:szCs w:val="20"/>
        </w:rPr>
        <w:t xml:space="preserve">Jak było do tej pory? </w:t>
      </w:r>
      <w:r>
        <w:rPr>
          <w:rFonts w:ascii="Arial" w:hAnsi="Arial" w:cs="Arial"/>
          <w:b/>
          <w:bCs/>
          <w:sz w:val="20"/>
          <w:szCs w:val="20"/>
        </w:rPr>
        <w:br/>
      </w:r>
      <w:r w:rsidRPr="00421A08">
        <w:rPr>
          <w:rFonts w:ascii="Arial" w:hAnsi="Arial" w:cs="Arial"/>
          <w:sz w:val="20"/>
          <w:szCs w:val="20"/>
        </w:rPr>
        <w:t xml:space="preserve">Sąd uznając wypowiedzenie umowy o pracę za bezskuteczne albo przywracając pracownika do pracy, </w:t>
      </w:r>
      <w:r w:rsidRPr="00421A08">
        <w:rPr>
          <w:rFonts w:ascii="Arial" w:hAnsi="Arial" w:cs="Arial"/>
          <w:b/>
          <w:bCs/>
          <w:sz w:val="20"/>
          <w:szCs w:val="20"/>
        </w:rPr>
        <w:t>mógł na wniosek pracownika</w:t>
      </w:r>
      <w:r w:rsidRPr="00421A08">
        <w:rPr>
          <w:rFonts w:ascii="Arial" w:hAnsi="Arial" w:cs="Arial"/>
          <w:sz w:val="20"/>
          <w:szCs w:val="20"/>
        </w:rPr>
        <w:t xml:space="preserve"> </w:t>
      </w:r>
      <w:r w:rsidRPr="00421A08">
        <w:rPr>
          <w:rFonts w:ascii="Arial" w:hAnsi="Arial" w:cs="Arial"/>
          <w:b/>
          <w:bCs/>
          <w:sz w:val="20"/>
          <w:szCs w:val="20"/>
        </w:rPr>
        <w:t>zobowiązać pracodawcę</w:t>
      </w:r>
      <w:r w:rsidRPr="00421A08">
        <w:rPr>
          <w:rFonts w:ascii="Arial" w:hAnsi="Arial" w:cs="Arial"/>
          <w:sz w:val="20"/>
          <w:szCs w:val="20"/>
        </w:rPr>
        <w:t xml:space="preserve"> </w:t>
      </w:r>
      <w:r w:rsidRPr="00421A08">
        <w:rPr>
          <w:rFonts w:ascii="Arial" w:hAnsi="Arial" w:cs="Arial"/>
          <w:b/>
          <w:bCs/>
          <w:sz w:val="20"/>
          <w:szCs w:val="20"/>
        </w:rPr>
        <w:t>do dalszego zatrudnienia go</w:t>
      </w:r>
      <w:r w:rsidRPr="00421A08">
        <w:rPr>
          <w:rFonts w:ascii="Arial" w:hAnsi="Arial" w:cs="Arial"/>
          <w:sz w:val="20"/>
          <w:szCs w:val="20"/>
        </w:rPr>
        <w:t xml:space="preserve">, aż do zakończenia prawomocnego postępowania. Taka decyzja była jednak uprawnieniem sądu, a nie obowiązkiem – sąd mógł nie uwzględnić wniosku pracownika. </w:t>
      </w:r>
    </w:p>
    <w:p w14:paraId="3470B2DF" w14:textId="77777777" w:rsidR="00421A08" w:rsidRDefault="00421A08" w:rsidP="00421A08">
      <w:pPr>
        <w:pStyle w:val="firefox"/>
        <w:spacing w:line="360" w:lineRule="auto"/>
        <w:rPr>
          <w:rFonts w:ascii="Arial" w:hAnsi="Arial" w:cs="Arial"/>
          <w:sz w:val="20"/>
          <w:szCs w:val="20"/>
        </w:rPr>
      </w:pPr>
      <w:r w:rsidRPr="00421A08">
        <w:rPr>
          <w:rFonts w:ascii="Arial" w:hAnsi="Arial" w:cs="Arial"/>
          <w:b/>
          <w:bCs/>
          <w:sz w:val="20"/>
          <w:szCs w:val="20"/>
        </w:rPr>
        <w:t xml:space="preserve">Jak jest od 22 września? </w:t>
      </w:r>
      <w:r>
        <w:rPr>
          <w:rFonts w:ascii="Arial" w:hAnsi="Arial" w:cs="Arial"/>
          <w:b/>
          <w:bCs/>
          <w:sz w:val="20"/>
          <w:szCs w:val="20"/>
        </w:rPr>
        <w:br/>
      </w:r>
      <w:r w:rsidRPr="00421A08">
        <w:rPr>
          <w:rFonts w:ascii="Arial" w:hAnsi="Arial" w:cs="Arial"/>
          <w:sz w:val="20"/>
          <w:szCs w:val="20"/>
        </w:rPr>
        <w:t xml:space="preserve">Według nowych przepisów, w tej samej sytuacji, </w:t>
      </w:r>
      <w:r w:rsidRPr="00421A08">
        <w:rPr>
          <w:rFonts w:ascii="Arial" w:hAnsi="Arial" w:cs="Arial"/>
          <w:b/>
          <w:bCs/>
          <w:sz w:val="20"/>
          <w:szCs w:val="20"/>
        </w:rPr>
        <w:t>sąd na wniosek pracownika będzie musiał</w:t>
      </w:r>
      <w:r w:rsidRPr="00421A08">
        <w:rPr>
          <w:rFonts w:ascii="Arial" w:hAnsi="Arial" w:cs="Arial"/>
          <w:sz w:val="20"/>
          <w:szCs w:val="20"/>
          <w:u w:val="single"/>
        </w:rPr>
        <w:t xml:space="preserve"> </w:t>
      </w:r>
      <w:r w:rsidRPr="00421A08">
        <w:rPr>
          <w:rFonts w:ascii="Arial" w:hAnsi="Arial" w:cs="Arial"/>
          <w:b/>
          <w:bCs/>
          <w:sz w:val="20"/>
          <w:szCs w:val="20"/>
        </w:rPr>
        <w:t>zobowiązać pracodawcę do dalszego zatrudnienia pracownika</w:t>
      </w:r>
      <w:r w:rsidRPr="00421A08">
        <w:rPr>
          <w:rFonts w:ascii="Arial" w:hAnsi="Arial" w:cs="Arial"/>
          <w:sz w:val="20"/>
          <w:szCs w:val="20"/>
        </w:rPr>
        <w:t>, aż do zakończenia prawomocnego postępowania. Wniosek pracownika ma więc dla sądu charakter wiążący.</w:t>
      </w:r>
    </w:p>
    <w:p w14:paraId="0246B02B" w14:textId="77777777" w:rsidR="00421A08" w:rsidRDefault="00421A08" w:rsidP="00421A08">
      <w:pPr>
        <w:pStyle w:val="firefox"/>
        <w:spacing w:line="360" w:lineRule="auto"/>
        <w:rPr>
          <w:rFonts w:ascii="Arial" w:hAnsi="Arial" w:cs="Arial"/>
          <w:sz w:val="20"/>
          <w:szCs w:val="20"/>
        </w:rPr>
      </w:pPr>
      <w:r w:rsidRPr="00421A08">
        <w:rPr>
          <w:rFonts w:ascii="Arial" w:hAnsi="Arial" w:cs="Arial"/>
          <w:b/>
          <w:bCs/>
          <w:sz w:val="20"/>
          <w:szCs w:val="20"/>
        </w:rPr>
        <w:t xml:space="preserve">Co jeszcze zmienia się od 22 września? </w:t>
      </w:r>
      <w:r w:rsidRPr="00421A08">
        <w:rPr>
          <w:rFonts w:ascii="Arial" w:hAnsi="Arial" w:cs="Arial"/>
          <w:b/>
          <w:bCs/>
          <w:sz w:val="20"/>
          <w:szCs w:val="20"/>
        </w:rPr>
        <w:br/>
      </w:r>
      <w:r w:rsidRPr="00421A08">
        <w:rPr>
          <w:rFonts w:ascii="Arial" w:hAnsi="Arial" w:cs="Arial"/>
          <w:sz w:val="20"/>
          <w:szCs w:val="20"/>
        </w:rPr>
        <w:t xml:space="preserve">Jeszcze dalej idzie regulacja w stosunku do pracowników szczególnie chronionych w rozumieniu prawa pracy, czyli np. wobec działaczy związkowych, społecznych inspektorów pracy, kobiet w ciąży, pracowników korzystających z urlopów rodzicielskich czy pracowników w wieku przedemerytalnych. </w:t>
      </w:r>
      <w:r w:rsidRPr="00421A08">
        <w:rPr>
          <w:rFonts w:ascii="Arial" w:hAnsi="Arial" w:cs="Arial"/>
          <w:sz w:val="20"/>
          <w:szCs w:val="20"/>
        </w:rPr>
        <w:br/>
        <w:t>Jeśli wniosą oni powództwo o uznanie wypowiedzenia stosunku pracy za bezskuteczne albo o przywrócenie do pracy, sąd, na wniosek pracownika, na każdym etapie postępowania, nakaże pracodawcy dalsze zatrudnianie go, aż do czasu prawomocnego zakończenia postępowania. Sąd będzie mógł odmówić nakazania dalszego zatrudniania pracownika jedynie w sytuacji, gdy jego roszczenie będzie w sposób oczywisty bezzasadne.</w:t>
      </w:r>
    </w:p>
    <w:p w14:paraId="56401161" w14:textId="2678C5BD" w:rsidR="00421A08" w:rsidRPr="00421A08" w:rsidRDefault="00421A08" w:rsidP="00421A08">
      <w:pPr>
        <w:pStyle w:val="firefox"/>
        <w:spacing w:line="360" w:lineRule="auto"/>
        <w:rPr>
          <w:rFonts w:ascii="Arial" w:hAnsi="Arial" w:cs="Arial"/>
          <w:sz w:val="20"/>
          <w:szCs w:val="20"/>
        </w:rPr>
      </w:pPr>
      <w:r w:rsidRPr="00421A08">
        <w:rPr>
          <w:rFonts w:ascii="Arial" w:hAnsi="Arial" w:cs="Arial"/>
          <w:b/>
          <w:bCs/>
          <w:sz w:val="20"/>
          <w:szCs w:val="20"/>
        </w:rPr>
        <w:t xml:space="preserve">Czy to oznacza, że pracodawca ma w tej sytuacji zupełnie związane ręce? </w:t>
      </w:r>
      <w:r w:rsidRPr="00421A08">
        <w:rPr>
          <w:rFonts w:ascii="Arial" w:hAnsi="Arial" w:cs="Arial"/>
          <w:b/>
          <w:bCs/>
          <w:sz w:val="20"/>
          <w:szCs w:val="20"/>
        </w:rPr>
        <w:br/>
        <w:t>Komentarz Roberta Maliszewskiego, dyrektora Działu Prawnego SEKA S.A.:</w:t>
      </w:r>
      <w:r>
        <w:rPr>
          <w:rFonts w:ascii="Arial" w:hAnsi="Arial" w:cs="Arial"/>
          <w:b/>
          <w:bCs/>
          <w:sz w:val="20"/>
          <w:szCs w:val="20"/>
        </w:rPr>
        <w:br/>
      </w:r>
      <w:r w:rsidRPr="00421A08">
        <w:rPr>
          <w:rFonts w:ascii="Arial" w:hAnsi="Arial" w:cs="Arial"/>
          <w:sz w:val="20"/>
          <w:szCs w:val="20"/>
        </w:rPr>
        <w:t xml:space="preserve">Takie postanowienie „zabezpieczające” wydane przez sąd pracy co do zasady nie może ulec zmianie. Niewątpliwie stanowić to będzie dla pracodawcy istotny problem, zwłaszcza w sytuacji ostrego konfliktu lub utraty zaufania do pracownika, który został zwolniony z powodu np. przekazywania poufnych danych do konkurencji. Ustawodawca przewidział tu jednak wyjątek. Mianowicie, pracodawca będzie mógł żądać uchylenia takiego postanowienia, jeśli wykaże, że po nakazaniu przez sąd dalszego zatrudniania pracownika zaistniały przesłanki do rozwiązania umowy o pracę bez wypowiedzenia z winy pracownika, czyli te, o których mowa w art. 52 § 1 Kodeksu pracy.  </w:t>
      </w:r>
    </w:p>
    <w:p w14:paraId="37C30A1F" w14:textId="77777777" w:rsidR="00421A08" w:rsidRPr="00421A08" w:rsidRDefault="00421A08" w:rsidP="00421A08">
      <w:pPr>
        <w:spacing w:line="360" w:lineRule="auto"/>
        <w:rPr>
          <w:rFonts w:ascii="Arial" w:hAnsi="Arial" w:cs="Arial"/>
          <w:sz w:val="20"/>
          <w:szCs w:val="20"/>
        </w:rPr>
      </w:pPr>
      <w:r w:rsidRPr="00421A08">
        <w:rPr>
          <w:rFonts w:ascii="Arial" w:hAnsi="Arial" w:cs="Arial"/>
          <w:sz w:val="20"/>
          <w:szCs w:val="20"/>
        </w:rPr>
        <w:lastRenderedPageBreak/>
        <w:t xml:space="preserve">Podsumowując wszystkie zmiany obowiązujące od 22 września 2023, należy podkreślić, że omawiana nowelizacja istotnie zmienia sytuację procesową pracodawcy. Dlatego w naszej ocenie jeszcze bardziej wskazuje ona na konieczność prawidłowego i starannego przygotowywania procesu rozwiązywania umów o pracę, w szczególności z tzw. pracownikami szczególnie chronionymi. </w:t>
      </w:r>
      <w:r w:rsidRPr="00421A08">
        <w:rPr>
          <w:rFonts w:ascii="Arial" w:hAnsi="Arial" w:cs="Arial"/>
          <w:sz w:val="20"/>
          <w:szCs w:val="20"/>
        </w:rPr>
        <w:br/>
      </w:r>
    </w:p>
    <w:p w14:paraId="3450B386" w14:textId="7B787B40" w:rsidR="00421A08" w:rsidRPr="00421A08" w:rsidRDefault="00421A08" w:rsidP="00421A08">
      <w:pPr>
        <w:spacing w:line="360" w:lineRule="auto"/>
        <w:rPr>
          <w:rFonts w:ascii="Arial" w:eastAsia="Dotum" w:hAnsi="Arial" w:cs="Arial"/>
          <w:sz w:val="20"/>
          <w:szCs w:val="20"/>
        </w:rPr>
      </w:pPr>
      <w:r w:rsidRPr="00421A08">
        <w:rPr>
          <w:rFonts w:ascii="Arial" w:hAnsi="Arial" w:cs="Arial"/>
          <w:sz w:val="20"/>
          <w:szCs w:val="20"/>
        </w:rPr>
        <w:t xml:space="preserve">Biuro prasowe </w:t>
      </w:r>
      <w:proofErr w:type="spellStart"/>
      <w:r w:rsidRPr="00421A08">
        <w:rPr>
          <w:rFonts w:ascii="Arial" w:hAnsi="Arial" w:cs="Arial"/>
          <w:sz w:val="20"/>
          <w:szCs w:val="20"/>
        </w:rPr>
        <w:t>Seka</w:t>
      </w:r>
      <w:proofErr w:type="spellEnd"/>
      <w:r w:rsidRPr="00421A08">
        <w:rPr>
          <w:rFonts w:ascii="Arial" w:hAnsi="Arial" w:cs="Arial"/>
          <w:sz w:val="20"/>
          <w:szCs w:val="20"/>
        </w:rPr>
        <w:t xml:space="preserve"> S.A.</w:t>
      </w:r>
      <w:r w:rsidRPr="00421A08">
        <w:rPr>
          <w:rFonts w:ascii="Arial" w:hAnsi="Arial" w:cs="Arial"/>
          <w:sz w:val="20"/>
          <w:szCs w:val="20"/>
        </w:rPr>
        <w:br/>
        <w:t xml:space="preserve">Kontakt: </w:t>
      </w:r>
      <w:hyperlink r:id="rId8" w:history="1">
        <w:r w:rsidRPr="00421A08">
          <w:rPr>
            <w:rStyle w:val="Hipercze"/>
            <w:rFonts w:ascii="Arial" w:hAnsi="Arial" w:cs="Arial"/>
            <w:sz w:val="20"/>
            <w:szCs w:val="20"/>
          </w:rPr>
          <w:t>marketing@seka.pl</w:t>
        </w:r>
      </w:hyperlink>
      <w:r w:rsidRPr="00421A08">
        <w:rPr>
          <w:rFonts w:ascii="Arial" w:hAnsi="Arial" w:cs="Arial"/>
          <w:sz w:val="20"/>
          <w:szCs w:val="20"/>
        </w:rPr>
        <w:t xml:space="preserve"> </w:t>
      </w:r>
      <w:r w:rsidRPr="00421A08">
        <w:rPr>
          <w:rFonts w:ascii="Arial" w:hAnsi="Arial" w:cs="Arial"/>
          <w:sz w:val="20"/>
          <w:szCs w:val="20"/>
        </w:rPr>
        <w:br/>
        <w:t xml:space="preserve">Materiał został przygotowany we współpracy z Działem Prawnym </w:t>
      </w:r>
      <w:proofErr w:type="spellStart"/>
      <w:r w:rsidRPr="00421A08">
        <w:rPr>
          <w:rFonts w:ascii="Arial" w:hAnsi="Arial" w:cs="Arial"/>
          <w:sz w:val="20"/>
          <w:szCs w:val="20"/>
        </w:rPr>
        <w:t>Seka</w:t>
      </w:r>
      <w:proofErr w:type="spellEnd"/>
      <w:r w:rsidRPr="00421A08">
        <w:rPr>
          <w:rFonts w:ascii="Arial" w:hAnsi="Arial" w:cs="Arial"/>
          <w:sz w:val="20"/>
          <w:szCs w:val="20"/>
        </w:rPr>
        <w:t xml:space="preserve"> S.A. </w:t>
      </w:r>
    </w:p>
    <w:sectPr w:rsidR="00421A08" w:rsidRPr="00421A08" w:rsidSect="00421A08">
      <w:headerReference w:type="even" r:id="rId9"/>
      <w:headerReference w:type="default" r:id="rId10"/>
      <w:footerReference w:type="even" r:id="rId11"/>
      <w:footerReference w:type="default" r:id="rId12"/>
      <w:headerReference w:type="first" r:id="rId13"/>
      <w:footerReference w:type="first" r:id="rId14"/>
      <w:pgSz w:w="11907" w:h="16839" w:code="9"/>
      <w:pgMar w:top="2127" w:right="1418" w:bottom="1701"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109C" w14:textId="77777777" w:rsidR="00AA3F8F" w:rsidRDefault="00AA3F8F" w:rsidP="00460683">
      <w:pPr>
        <w:spacing w:after="0" w:line="240" w:lineRule="auto"/>
      </w:pPr>
      <w:r>
        <w:separator/>
      </w:r>
    </w:p>
  </w:endnote>
  <w:endnote w:type="continuationSeparator" w:id="0">
    <w:p w14:paraId="18979AF4" w14:textId="77777777" w:rsidR="00AA3F8F" w:rsidRDefault="00AA3F8F" w:rsidP="00460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85B4" w14:textId="77777777" w:rsidR="00E93810" w:rsidRDefault="00E9381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E787" w14:textId="77777777" w:rsidR="00E93810" w:rsidRPr="00E93810" w:rsidRDefault="00E93810" w:rsidP="00E93810">
    <w:pPr>
      <w:pStyle w:val="Stopka"/>
      <w:rPr>
        <w:color w:val="404040" w:themeColor="text1" w:themeTint="BF"/>
        <w:sz w:val="14"/>
        <w:szCs w:val="14"/>
      </w:rPr>
    </w:pPr>
    <w:r>
      <w:rPr>
        <w:noProof/>
        <w:color w:val="000000" w:themeColor="text1"/>
        <w:sz w:val="14"/>
        <w:szCs w:val="14"/>
        <w:lang w:eastAsia="pl-PL"/>
      </w:rPr>
      <mc:AlternateContent>
        <mc:Choice Requires="wps">
          <w:drawing>
            <wp:anchor distT="0" distB="0" distL="114300" distR="114300" simplePos="0" relativeHeight="251660288" behindDoc="0" locked="0" layoutInCell="1" allowOverlap="1" wp14:anchorId="339E05CF" wp14:editId="50519F1B">
              <wp:simplePos x="0" y="0"/>
              <wp:positionH relativeFrom="margin">
                <wp:align>left</wp:align>
              </wp:positionH>
              <wp:positionV relativeFrom="paragraph">
                <wp:posOffset>-95885</wp:posOffset>
              </wp:positionV>
              <wp:extent cx="805218" cy="45719"/>
              <wp:effectExtent l="0" t="0" r="0" b="0"/>
              <wp:wrapNone/>
              <wp:docPr id="4" name="Prostokąt 4"/>
              <wp:cNvGraphicFramePr/>
              <a:graphic xmlns:a="http://schemas.openxmlformats.org/drawingml/2006/main">
                <a:graphicData uri="http://schemas.microsoft.com/office/word/2010/wordprocessingShape">
                  <wps:wsp>
                    <wps:cNvSpPr/>
                    <wps:spPr>
                      <a:xfrm flipV="1">
                        <a:off x="0" y="0"/>
                        <a:ext cx="805218"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0BCFD" id="Prostokąt 4" o:spid="_x0000_s1026" style="position:absolute;margin-left:0;margin-top:-7.55pt;width:63.4pt;height:3.6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" fillcolor="#c00000" stroked="f" strokeweight="1pt">
              <w10:wrap anchorx="margin"/>
            </v:rect>
          </w:pict>
        </mc:Fallback>
      </mc:AlternateContent>
    </w:r>
    <w:r w:rsidRPr="00E93810">
      <w:rPr>
        <w:color w:val="404040" w:themeColor="text1" w:themeTint="BF"/>
        <w:sz w:val="14"/>
        <w:szCs w:val="14"/>
      </w:rPr>
      <w:t>SEKA S.A., 04-386 Warszawa, ul. Paca 37, tel.: 22 517 88 88, fax: 22 517 88 87</w:t>
    </w:r>
  </w:p>
  <w:p w14:paraId="0290E211" w14:textId="77777777" w:rsidR="00E93810" w:rsidRPr="00E93810" w:rsidRDefault="00E93810" w:rsidP="00E93810">
    <w:pPr>
      <w:pStyle w:val="Stopka"/>
      <w:rPr>
        <w:color w:val="404040" w:themeColor="text1" w:themeTint="BF"/>
        <w:sz w:val="14"/>
        <w:szCs w:val="14"/>
      </w:rPr>
    </w:pPr>
    <w:r w:rsidRPr="00E93810">
      <w:rPr>
        <w:color w:val="404040" w:themeColor="text1" w:themeTint="BF"/>
        <w:sz w:val="14"/>
        <w:szCs w:val="14"/>
      </w:rPr>
      <w:t>Kapitał zakładowy: 2 000 000,00 (wpłacony w całości) NIP: 113-01-22-021, KRS nr 0000082102 Sąd Rejonowy dla m.st. Warszawy, XIV Wydział Gospodarczy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6BA1" w14:textId="77777777" w:rsidR="00E93810" w:rsidRDefault="00E9381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82ED" w14:textId="77777777" w:rsidR="00AA3F8F" w:rsidRDefault="00AA3F8F" w:rsidP="00460683">
      <w:pPr>
        <w:spacing w:after="0" w:line="240" w:lineRule="auto"/>
      </w:pPr>
      <w:r>
        <w:separator/>
      </w:r>
    </w:p>
  </w:footnote>
  <w:footnote w:type="continuationSeparator" w:id="0">
    <w:p w14:paraId="348E6DE5" w14:textId="77777777" w:rsidR="00AA3F8F" w:rsidRDefault="00AA3F8F" w:rsidP="00460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11BC" w14:textId="77777777" w:rsidR="00460683" w:rsidRDefault="00AA3F8F">
    <w:pPr>
      <w:pStyle w:val="Nagwek"/>
    </w:pPr>
    <w:r>
      <w:rPr>
        <w:noProof/>
        <w:lang w:eastAsia="pl-PL"/>
      </w:rPr>
      <w:pict w14:anchorId="603E9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685" o:spid="_x0000_s2062" type="#_x0000_t75" style="position:absolute;margin-left:0;margin-top:0;width:595.2pt;height:834.95pt;z-index:-251659264;mso-position-horizontal:center;mso-position-horizontal-relative:margin;mso-position-vertical:center;mso-position-vertical-relative:margin" o:allowincell="f">
          <v:imagedata r:id="rId1" o:title="SEKA papier A4_2015stopk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6062" w14:textId="77777777" w:rsidR="00015A51" w:rsidRDefault="00E93810" w:rsidP="00E93810">
    <w:pPr>
      <w:pStyle w:val="Nagwek"/>
      <w:tabs>
        <w:tab w:val="clear" w:pos="4703"/>
        <w:tab w:val="clear" w:pos="9406"/>
        <w:tab w:val="left" w:pos="720"/>
      </w:tabs>
      <w:ind w:left="-851"/>
      <w:rPr>
        <w:noProof/>
        <w:lang w:eastAsia="pl-PL"/>
      </w:rPr>
    </w:pPr>
    <w:r>
      <w:rPr>
        <w:noProof/>
        <w:lang w:eastAsia="pl-PL"/>
      </w:rPr>
      <w:drawing>
        <wp:anchor distT="0" distB="0" distL="114300" distR="114300" simplePos="0" relativeHeight="251659264" behindDoc="1" locked="0" layoutInCell="1" allowOverlap="1" wp14:anchorId="5D60412C" wp14:editId="50B10F1F">
          <wp:simplePos x="0" y="0"/>
          <wp:positionH relativeFrom="margin">
            <wp:posOffset>314325</wp:posOffset>
          </wp:positionH>
          <wp:positionV relativeFrom="paragraph">
            <wp:posOffset>5715</wp:posOffset>
          </wp:positionV>
          <wp:extent cx="927952" cy="600075"/>
          <wp:effectExtent l="0" t="0" r="571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w-3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52" cy="6000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tab/>
    </w:r>
  </w:p>
  <w:p w14:paraId="0E716B04" w14:textId="77777777" w:rsidR="00460683" w:rsidRPr="00E93810" w:rsidRDefault="00E93810" w:rsidP="00E93810">
    <w:pPr>
      <w:pStyle w:val="Nagwek"/>
      <w:tabs>
        <w:tab w:val="clear" w:pos="9406"/>
        <w:tab w:val="right" w:pos="9781"/>
      </w:tabs>
      <w:ind w:left="-851"/>
      <w:jc w:val="right"/>
      <w:rPr>
        <w:b/>
        <w:color w:val="1F3864" w:themeColor="accent5" w:themeShade="80"/>
        <w:sz w:val="28"/>
        <w:szCs w:val="28"/>
      </w:rPr>
    </w:pPr>
    <w:r w:rsidRPr="00E93810">
      <w:rPr>
        <w:b/>
        <w:color w:val="1F3864" w:themeColor="accent5" w:themeShade="80"/>
        <w:sz w:val="28"/>
        <w:szCs w:val="28"/>
      </w:rPr>
      <w:t>Tworzymy kulturę bezpieczeństwa</w:t>
    </w:r>
  </w:p>
  <w:p w14:paraId="30234302" w14:textId="77777777" w:rsidR="00E93810" w:rsidRPr="00E93810" w:rsidRDefault="00E93810" w:rsidP="00E93810">
    <w:pPr>
      <w:pStyle w:val="Nagwek"/>
      <w:tabs>
        <w:tab w:val="clear" w:pos="9406"/>
        <w:tab w:val="right" w:pos="9781"/>
      </w:tabs>
      <w:ind w:left="-851"/>
      <w:jc w:val="right"/>
      <w:rPr>
        <w:color w:val="404040" w:themeColor="text1" w:themeTint="BF"/>
      </w:rPr>
    </w:pPr>
    <w:r w:rsidRPr="00E93810">
      <w:rPr>
        <w:color w:val="404040" w:themeColor="text1" w:themeTint="BF"/>
      </w:rPr>
      <w:t>magazyn.seka.pl</w:t>
    </w:r>
  </w:p>
  <w:p w14:paraId="53CE734D" w14:textId="77777777" w:rsidR="00C20A00" w:rsidRPr="00C20A00" w:rsidRDefault="00C20A00" w:rsidP="00C20A00">
    <w:pPr>
      <w:pStyle w:val="Nagwek"/>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AED6" w14:textId="77777777" w:rsidR="00460683" w:rsidRDefault="00AA3F8F">
    <w:pPr>
      <w:pStyle w:val="Nagwek"/>
    </w:pPr>
    <w:r>
      <w:rPr>
        <w:noProof/>
        <w:lang w:eastAsia="pl-PL"/>
      </w:rPr>
      <w:pict w14:anchorId="66519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62684" o:spid="_x0000_s2061" type="#_x0000_t75" style="position:absolute;margin-left:0;margin-top:0;width:595.2pt;height:834.95pt;z-index:-251660288;mso-position-horizontal:center;mso-position-horizontal-relative:margin;mso-position-vertical:center;mso-position-vertical-relative:margin" o:allowincell="f">
          <v:imagedata r:id="rId1" o:title="SEKA papier A4_2015stop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9.15pt;height:9.15pt" o:bullet="t">
        <v:imagedata r:id="rId1" o:title="BD15134_"/>
      </v:shape>
    </w:pict>
  </w:numPicBullet>
  <w:numPicBullet w:numPicBulletId="1">
    <w:pict>
      <v:shape id="_x0000_i1123" type="#_x0000_t75" style="width:9.15pt;height:9.15pt" o:bullet="t">
        <v:imagedata r:id="rId2" o:title="BD15135_"/>
      </v:shape>
    </w:pict>
  </w:numPicBullet>
  <w:numPicBullet w:numPicBulletId="2">
    <w:pict>
      <v:shape id="_x0000_i1124" type="#_x0000_t75" style="width:9.15pt;height:9.15pt" o:bullet="t">
        <v:imagedata r:id="rId3" o:title="BD14985_"/>
      </v:shape>
    </w:pict>
  </w:numPicBullet>
  <w:abstractNum w:abstractNumId="0" w15:restartNumberingAfterBreak="0">
    <w:nsid w:val="056C36AE"/>
    <w:multiLevelType w:val="multilevel"/>
    <w:tmpl w:val="B9F6AE88"/>
    <w:lvl w:ilvl="0">
      <w:start w:val="1"/>
      <w:numFmt w:val="bullet"/>
      <w:lvlText w:val=""/>
      <w:lvlPicBulletId w:val="2"/>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890B0F"/>
    <w:multiLevelType w:val="hybridMultilevel"/>
    <w:tmpl w:val="FF645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323EE"/>
    <w:multiLevelType w:val="hybridMultilevel"/>
    <w:tmpl w:val="1DB64A0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B283689"/>
    <w:multiLevelType w:val="hybridMultilevel"/>
    <w:tmpl w:val="DAF21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E871C4D"/>
    <w:multiLevelType w:val="hybridMultilevel"/>
    <w:tmpl w:val="B34E3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5C879D6"/>
    <w:multiLevelType w:val="hybridMultilevel"/>
    <w:tmpl w:val="92EE19EE"/>
    <w:lvl w:ilvl="0" w:tplc="4B3EF0D8">
      <w:start w:val="1"/>
      <w:numFmt w:val="bullet"/>
      <w:lvlText w:val=""/>
      <w:lvlPicBulletId w:val="0"/>
      <w:lvlJc w:val="left"/>
      <w:pPr>
        <w:ind w:left="100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1531C7"/>
    <w:multiLevelType w:val="hybridMultilevel"/>
    <w:tmpl w:val="7D5C9820"/>
    <w:lvl w:ilvl="0" w:tplc="4C2A5FC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11265BB"/>
    <w:multiLevelType w:val="hybridMultilevel"/>
    <w:tmpl w:val="EDE617C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5D696092"/>
    <w:multiLevelType w:val="hybridMultilevel"/>
    <w:tmpl w:val="F8488CB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755F05D4"/>
    <w:multiLevelType w:val="multilevel"/>
    <w:tmpl w:val="6D8E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F02466"/>
    <w:multiLevelType w:val="hybridMultilevel"/>
    <w:tmpl w:val="4CCA4F8A"/>
    <w:lvl w:ilvl="0" w:tplc="2B64F482">
      <w:start w:val="1"/>
      <w:numFmt w:val="bullet"/>
      <w:lvlText w:val=""/>
      <w:lvlPicBulletId w:val="1"/>
      <w:lvlJc w:val="left"/>
      <w:pPr>
        <w:ind w:left="1004"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3"/>
  </w:num>
  <w:num w:numId="5">
    <w:abstractNumId w:val="4"/>
  </w:num>
  <w:num w:numId="6">
    <w:abstractNumId w:val="6"/>
  </w:num>
  <w:num w:numId="7">
    <w:abstractNumId w:val="0"/>
  </w:num>
  <w:num w:numId="8">
    <w:abstractNumId w:val="2"/>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683"/>
    <w:rsid w:val="0000677C"/>
    <w:rsid w:val="000117F6"/>
    <w:rsid w:val="00015A51"/>
    <w:rsid w:val="000574A2"/>
    <w:rsid w:val="00061974"/>
    <w:rsid w:val="00061DD5"/>
    <w:rsid w:val="00073B2F"/>
    <w:rsid w:val="0008138E"/>
    <w:rsid w:val="00082C84"/>
    <w:rsid w:val="00087493"/>
    <w:rsid w:val="00091BBA"/>
    <w:rsid w:val="00094025"/>
    <w:rsid w:val="000C58CA"/>
    <w:rsid w:val="000C607E"/>
    <w:rsid w:val="00116F81"/>
    <w:rsid w:val="001372F9"/>
    <w:rsid w:val="001448D3"/>
    <w:rsid w:val="00151692"/>
    <w:rsid w:val="00152D69"/>
    <w:rsid w:val="00171D25"/>
    <w:rsid w:val="00172004"/>
    <w:rsid w:val="00176383"/>
    <w:rsid w:val="001779A0"/>
    <w:rsid w:val="00177B35"/>
    <w:rsid w:val="00184D35"/>
    <w:rsid w:val="001915A0"/>
    <w:rsid w:val="001C039B"/>
    <w:rsid w:val="001C2F41"/>
    <w:rsid w:val="001E541E"/>
    <w:rsid w:val="001E7F17"/>
    <w:rsid w:val="0021592E"/>
    <w:rsid w:val="0022594E"/>
    <w:rsid w:val="0023169F"/>
    <w:rsid w:val="00231FA2"/>
    <w:rsid w:val="0027481A"/>
    <w:rsid w:val="0028004E"/>
    <w:rsid w:val="00291307"/>
    <w:rsid w:val="002A5FF0"/>
    <w:rsid w:val="002A7C13"/>
    <w:rsid w:val="002B1D0A"/>
    <w:rsid w:val="002D77B7"/>
    <w:rsid w:val="002F29D7"/>
    <w:rsid w:val="002F67C0"/>
    <w:rsid w:val="00303236"/>
    <w:rsid w:val="00311327"/>
    <w:rsid w:val="0031414D"/>
    <w:rsid w:val="00316975"/>
    <w:rsid w:val="00337F43"/>
    <w:rsid w:val="003479E1"/>
    <w:rsid w:val="00360FA6"/>
    <w:rsid w:val="00384666"/>
    <w:rsid w:val="003945D7"/>
    <w:rsid w:val="003D6975"/>
    <w:rsid w:val="003E17E8"/>
    <w:rsid w:val="003E3F4E"/>
    <w:rsid w:val="003E4884"/>
    <w:rsid w:val="00421A08"/>
    <w:rsid w:val="00447C14"/>
    <w:rsid w:val="00450AD3"/>
    <w:rsid w:val="004522DA"/>
    <w:rsid w:val="004559F2"/>
    <w:rsid w:val="00460683"/>
    <w:rsid w:val="0046088C"/>
    <w:rsid w:val="00464D29"/>
    <w:rsid w:val="00474151"/>
    <w:rsid w:val="004A44D7"/>
    <w:rsid w:val="004C5283"/>
    <w:rsid w:val="004D7503"/>
    <w:rsid w:val="004E44B8"/>
    <w:rsid w:val="00505C05"/>
    <w:rsid w:val="0051595C"/>
    <w:rsid w:val="00523674"/>
    <w:rsid w:val="00524881"/>
    <w:rsid w:val="00525AD2"/>
    <w:rsid w:val="00564A38"/>
    <w:rsid w:val="00566AB3"/>
    <w:rsid w:val="005941FA"/>
    <w:rsid w:val="0059664D"/>
    <w:rsid w:val="005B13C4"/>
    <w:rsid w:val="005B1A56"/>
    <w:rsid w:val="005C5549"/>
    <w:rsid w:val="00610B74"/>
    <w:rsid w:val="006112AC"/>
    <w:rsid w:val="00621F5E"/>
    <w:rsid w:val="0062443B"/>
    <w:rsid w:val="00641CF4"/>
    <w:rsid w:val="00653018"/>
    <w:rsid w:val="00692B52"/>
    <w:rsid w:val="0069465C"/>
    <w:rsid w:val="006B1B62"/>
    <w:rsid w:val="006C3C0C"/>
    <w:rsid w:val="006E72E0"/>
    <w:rsid w:val="007122BF"/>
    <w:rsid w:val="00714D68"/>
    <w:rsid w:val="00717277"/>
    <w:rsid w:val="0072392B"/>
    <w:rsid w:val="00753B54"/>
    <w:rsid w:val="00754171"/>
    <w:rsid w:val="007639A0"/>
    <w:rsid w:val="00771BF4"/>
    <w:rsid w:val="007754E9"/>
    <w:rsid w:val="00781423"/>
    <w:rsid w:val="007B7984"/>
    <w:rsid w:val="007D46FC"/>
    <w:rsid w:val="0080393B"/>
    <w:rsid w:val="008066C4"/>
    <w:rsid w:val="00820532"/>
    <w:rsid w:val="008478E1"/>
    <w:rsid w:val="008523C4"/>
    <w:rsid w:val="008723EE"/>
    <w:rsid w:val="00875777"/>
    <w:rsid w:val="008838D1"/>
    <w:rsid w:val="0089743E"/>
    <w:rsid w:val="008B38C2"/>
    <w:rsid w:val="008B6793"/>
    <w:rsid w:val="008C48C2"/>
    <w:rsid w:val="008F15BF"/>
    <w:rsid w:val="00901E8B"/>
    <w:rsid w:val="0091303C"/>
    <w:rsid w:val="009177AE"/>
    <w:rsid w:val="00923ADD"/>
    <w:rsid w:val="00941EDF"/>
    <w:rsid w:val="0094642A"/>
    <w:rsid w:val="009474FF"/>
    <w:rsid w:val="0097151D"/>
    <w:rsid w:val="00984099"/>
    <w:rsid w:val="00990C2B"/>
    <w:rsid w:val="00991538"/>
    <w:rsid w:val="009B55C4"/>
    <w:rsid w:val="009C387D"/>
    <w:rsid w:val="009E260E"/>
    <w:rsid w:val="009E4A8A"/>
    <w:rsid w:val="00A13C99"/>
    <w:rsid w:val="00A3618A"/>
    <w:rsid w:val="00A6489F"/>
    <w:rsid w:val="00A7015B"/>
    <w:rsid w:val="00A76D0B"/>
    <w:rsid w:val="00AA3F8F"/>
    <w:rsid w:val="00AA5944"/>
    <w:rsid w:val="00AB378A"/>
    <w:rsid w:val="00AB587A"/>
    <w:rsid w:val="00AC0031"/>
    <w:rsid w:val="00AE2639"/>
    <w:rsid w:val="00B1145B"/>
    <w:rsid w:val="00B2505A"/>
    <w:rsid w:val="00B2587D"/>
    <w:rsid w:val="00B56DE4"/>
    <w:rsid w:val="00B62076"/>
    <w:rsid w:val="00B81DC8"/>
    <w:rsid w:val="00B82AA2"/>
    <w:rsid w:val="00B863BB"/>
    <w:rsid w:val="00B9301F"/>
    <w:rsid w:val="00BA7779"/>
    <w:rsid w:val="00BA77DF"/>
    <w:rsid w:val="00BC0804"/>
    <w:rsid w:val="00BD785B"/>
    <w:rsid w:val="00BE1245"/>
    <w:rsid w:val="00C108CE"/>
    <w:rsid w:val="00C20A00"/>
    <w:rsid w:val="00C211B5"/>
    <w:rsid w:val="00C21C11"/>
    <w:rsid w:val="00C501A5"/>
    <w:rsid w:val="00C5446C"/>
    <w:rsid w:val="00C54E8D"/>
    <w:rsid w:val="00C575D9"/>
    <w:rsid w:val="00C8072E"/>
    <w:rsid w:val="00CB179E"/>
    <w:rsid w:val="00CC2D1C"/>
    <w:rsid w:val="00CD43BC"/>
    <w:rsid w:val="00D03C6A"/>
    <w:rsid w:val="00D16BF9"/>
    <w:rsid w:val="00D2149F"/>
    <w:rsid w:val="00D34126"/>
    <w:rsid w:val="00D35BF5"/>
    <w:rsid w:val="00D45C5D"/>
    <w:rsid w:val="00DA1B0A"/>
    <w:rsid w:val="00DA2637"/>
    <w:rsid w:val="00DC5550"/>
    <w:rsid w:val="00E0485E"/>
    <w:rsid w:val="00E07CD5"/>
    <w:rsid w:val="00E13D04"/>
    <w:rsid w:val="00E2765F"/>
    <w:rsid w:val="00E54164"/>
    <w:rsid w:val="00E65D8F"/>
    <w:rsid w:val="00E677A3"/>
    <w:rsid w:val="00E72154"/>
    <w:rsid w:val="00E857DD"/>
    <w:rsid w:val="00E87E2F"/>
    <w:rsid w:val="00E93810"/>
    <w:rsid w:val="00E95A2D"/>
    <w:rsid w:val="00EE7ADC"/>
    <w:rsid w:val="00F1406E"/>
    <w:rsid w:val="00F376E9"/>
    <w:rsid w:val="00F42077"/>
    <w:rsid w:val="00F57E55"/>
    <w:rsid w:val="00F80845"/>
    <w:rsid w:val="00F81C5D"/>
    <w:rsid w:val="00F83DBF"/>
    <w:rsid w:val="00FA0251"/>
    <w:rsid w:val="00FA488C"/>
    <w:rsid w:val="00FB0059"/>
    <w:rsid w:val="00FB44F3"/>
    <w:rsid w:val="00FC2C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02CADF8"/>
  <w15:docId w15:val="{E4248757-2858-4BF2-A56E-D5CCB8EB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0683"/>
    <w:pPr>
      <w:spacing w:after="200" w:line="276" w:lineRule="auto"/>
    </w:pPr>
    <w:rPr>
      <w:sz w:val="22"/>
      <w:szCs w:val="22"/>
      <w:lang w:eastAsia="en-US"/>
    </w:rPr>
  </w:style>
  <w:style w:type="paragraph" w:styleId="Nagwek3">
    <w:name w:val="heading 3"/>
    <w:basedOn w:val="Normalny"/>
    <w:link w:val="Nagwek3Znak"/>
    <w:uiPriority w:val="9"/>
    <w:qFormat/>
    <w:rsid w:val="00152D69"/>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60683"/>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460683"/>
  </w:style>
  <w:style w:type="paragraph" w:styleId="Stopka">
    <w:name w:val="footer"/>
    <w:basedOn w:val="Normalny"/>
    <w:link w:val="StopkaZnak"/>
    <w:uiPriority w:val="99"/>
    <w:unhideWhenUsed/>
    <w:rsid w:val="00460683"/>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460683"/>
  </w:style>
  <w:style w:type="character" w:styleId="Hipercze">
    <w:name w:val="Hyperlink"/>
    <w:uiPriority w:val="99"/>
    <w:unhideWhenUsed/>
    <w:rsid w:val="00460683"/>
    <w:rPr>
      <w:color w:val="0000FF"/>
      <w:u w:val="single"/>
    </w:rPr>
  </w:style>
  <w:style w:type="paragraph" w:styleId="Tekstdymka">
    <w:name w:val="Balloon Text"/>
    <w:basedOn w:val="Normalny"/>
    <w:link w:val="TekstdymkaZnak"/>
    <w:uiPriority w:val="99"/>
    <w:semiHidden/>
    <w:unhideWhenUsed/>
    <w:rsid w:val="00C20A0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20A00"/>
    <w:rPr>
      <w:rFonts w:ascii="Tahoma" w:hAnsi="Tahoma" w:cs="Tahoma"/>
      <w:sz w:val="16"/>
      <w:szCs w:val="16"/>
    </w:rPr>
  </w:style>
  <w:style w:type="paragraph" w:styleId="Akapitzlist">
    <w:name w:val="List Paragraph"/>
    <w:basedOn w:val="Normalny"/>
    <w:uiPriority w:val="34"/>
    <w:qFormat/>
    <w:rsid w:val="00C20A00"/>
    <w:pPr>
      <w:ind w:left="720"/>
      <w:contextualSpacing/>
    </w:pPr>
  </w:style>
  <w:style w:type="table" w:styleId="Tabela-Siatka">
    <w:name w:val="Table Grid"/>
    <w:basedOn w:val="Standardowy"/>
    <w:uiPriority w:val="39"/>
    <w:rsid w:val="002913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152D69"/>
    <w:rPr>
      <w:rFonts w:ascii="Times New Roman" w:eastAsia="Times New Roman" w:hAnsi="Times New Roman"/>
      <w:b/>
      <w:bCs/>
      <w:sz w:val="27"/>
      <w:szCs w:val="27"/>
    </w:rPr>
  </w:style>
  <w:style w:type="character" w:styleId="Pogrubienie">
    <w:name w:val="Strong"/>
    <w:basedOn w:val="Domylnaczcionkaakapitu"/>
    <w:uiPriority w:val="22"/>
    <w:qFormat/>
    <w:rsid w:val="00152D69"/>
    <w:rPr>
      <w:b/>
      <w:bCs/>
    </w:rPr>
  </w:style>
  <w:style w:type="paragraph" w:styleId="NormalnyWeb">
    <w:name w:val="Normal (Web)"/>
    <w:basedOn w:val="Normalny"/>
    <w:uiPriority w:val="99"/>
    <w:semiHidden/>
    <w:unhideWhenUsed/>
    <w:rsid w:val="00152D69"/>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kocowego">
    <w:name w:val="endnote text"/>
    <w:basedOn w:val="Normalny"/>
    <w:link w:val="TekstprzypisukocowegoZnak"/>
    <w:uiPriority w:val="99"/>
    <w:semiHidden/>
    <w:unhideWhenUsed/>
    <w:rsid w:val="00C21C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21C11"/>
    <w:rPr>
      <w:lang w:eastAsia="en-US"/>
    </w:rPr>
  </w:style>
  <w:style w:type="character" w:styleId="Odwoanieprzypisukocowego">
    <w:name w:val="endnote reference"/>
    <w:basedOn w:val="Domylnaczcionkaakapitu"/>
    <w:uiPriority w:val="99"/>
    <w:semiHidden/>
    <w:unhideWhenUsed/>
    <w:rsid w:val="00C21C11"/>
    <w:rPr>
      <w:vertAlign w:val="superscript"/>
    </w:rPr>
  </w:style>
  <w:style w:type="character" w:styleId="Odwoaniedokomentarza">
    <w:name w:val="annotation reference"/>
    <w:basedOn w:val="Domylnaczcionkaakapitu"/>
    <w:uiPriority w:val="99"/>
    <w:semiHidden/>
    <w:unhideWhenUsed/>
    <w:rsid w:val="00CD43BC"/>
    <w:rPr>
      <w:sz w:val="16"/>
      <w:szCs w:val="16"/>
    </w:rPr>
  </w:style>
  <w:style w:type="paragraph" w:styleId="Tekstkomentarza">
    <w:name w:val="annotation text"/>
    <w:basedOn w:val="Normalny"/>
    <w:link w:val="TekstkomentarzaZnak"/>
    <w:uiPriority w:val="99"/>
    <w:semiHidden/>
    <w:unhideWhenUsed/>
    <w:rsid w:val="00CD43B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43BC"/>
    <w:rPr>
      <w:lang w:eastAsia="en-US"/>
    </w:rPr>
  </w:style>
  <w:style w:type="paragraph" w:styleId="Tematkomentarza">
    <w:name w:val="annotation subject"/>
    <w:basedOn w:val="Tekstkomentarza"/>
    <w:next w:val="Tekstkomentarza"/>
    <w:link w:val="TematkomentarzaZnak"/>
    <w:uiPriority w:val="99"/>
    <w:semiHidden/>
    <w:unhideWhenUsed/>
    <w:rsid w:val="00CD43BC"/>
    <w:rPr>
      <w:b/>
      <w:bCs/>
    </w:rPr>
  </w:style>
  <w:style w:type="character" w:customStyle="1" w:styleId="TematkomentarzaZnak">
    <w:name w:val="Temat komentarza Znak"/>
    <w:basedOn w:val="TekstkomentarzaZnak"/>
    <w:link w:val="Tematkomentarza"/>
    <w:uiPriority w:val="99"/>
    <w:semiHidden/>
    <w:rsid w:val="00CD43BC"/>
    <w:rPr>
      <w:b/>
      <w:bCs/>
      <w:lang w:eastAsia="en-US"/>
    </w:rPr>
  </w:style>
  <w:style w:type="paragraph" w:customStyle="1" w:styleId="firefox">
    <w:name w:val="firefox"/>
    <w:basedOn w:val="Normalny"/>
    <w:rsid w:val="00421A08"/>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192713">
      <w:bodyDiv w:val="1"/>
      <w:marLeft w:val="0"/>
      <w:marRight w:val="0"/>
      <w:marTop w:val="0"/>
      <w:marBottom w:val="0"/>
      <w:divBdr>
        <w:top w:val="none" w:sz="0" w:space="0" w:color="auto"/>
        <w:left w:val="none" w:sz="0" w:space="0" w:color="auto"/>
        <w:bottom w:val="none" w:sz="0" w:space="0" w:color="auto"/>
        <w:right w:val="none" w:sz="0" w:space="0" w:color="auto"/>
      </w:divBdr>
    </w:div>
    <w:div w:id="767433495">
      <w:bodyDiv w:val="1"/>
      <w:marLeft w:val="0"/>
      <w:marRight w:val="0"/>
      <w:marTop w:val="0"/>
      <w:marBottom w:val="0"/>
      <w:divBdr>
        <w:top w:val="none" w:sz="0" w:space="0" w:color="auto"/>
        <w:left w:val="none" w:sz="0" w:space="0" w:color="auto"/>
        <w:bottom w:val="none" w:sz="0" w:space="0" w:color="auto"/>
        <w:right w:val="none" w:sz="0" w:space="0" w:color="auto"/>
      </w:divBdr>
    </w:div>
    <w:div w:id="1015571644">
      <w:bodyDiv w:val="1"/>
      <w:marLeft w:val="0"/>
      <w:marRight w:val="0"/>
      <w:marTop w:val="0"/>
      <w:marBottom w:val="0"/>
      <w:divBdr>
        <w:top w:val="none" w:sz="0" w:space="0" w:color="auto"/>
        <w:left w:val="none" w:sz="0" w:space="0" w:color="auto"/>
        <w:bottom w:val="none" w:sz="0" w:space="0" w:color="auto"/>
        <w:right w:val="none" w:sz="0" w:space="0" w:color="auto"/>
      </w:divBdr>
      <w:divsChild>
        <w:div w:id="531648886">
          <w:marLeft w:val="0"/>
          <w:marRight w:val="0"/>
          <w:marTop w:val="0"/>
          <w:marBottom w:val="0"/>
          <w:divBdr>
            <w:top w:val="none" w:sz="0" w:space="0" w:color="auto"/>
            <w:left w:val="none" w:sz="0" w:space="0" w:color="auto"/>
            <w:bottom w:val="none" w:sz="0" w:space="0" w:color="auto"/>
            <w:right w:val="none" w:sz="0" w:space="0" w:color="auto"/>
          </w:divBdr>
        </w:div>
        <w:div w:id="810364885">
          <w:marLeft w:val="0"/>
          <w:marRight w:val="0"/>
          <w:marTop w:val="0"/>
          <w:marBottom w:val="0"/>
          <w:divBdr>
            <w:top w:val="none" w:sz="0" w:space="0" w:color="auto"/>
            <w:left w:val="none" w:sz="0" w:space="0" w:color="auto"/>
            <w:bottom w:val="none" w:sz="0" w:space="0" w:color="auto"/>
            <w:right w:val="none" w:sz="0" w:space="0" w:color="auto"/>
          </w:divBdr>
        </w:div>
        <w:div w:id="582908437">
          <w:marLeft w:val="0"/>
          <w:marRight w:val="0"/>
          <w:marTop w:val="0"/>
          <w:marBottom w:val="0"/>
          <w:divBdr>
            <w:top w:val="none" w:sz="0" w:space="0" w:color="auto"/>
            <w:left w:val="none" w:sz="0" w:space="0" w:color="auto"/>
            <w:bottom w:val="none" w:sz="0" w:space="0" w:color="auto"/>
            <w:right w:val="none" w:sz="0" w:space="0" w:color="auto"/>
          </w:divBdr>
        </w:div>
        <w:div w:id="345442121">
          <w:marLeft w:val="0"/>
          <w:marRight w:val="0"/>
          <w:marTop w:val="0"/>
          <w:marBottom w:val="0"/>
          <w:divBdr>
            <w:top w:val="none" w:sz="0" w:space="0" w:color="auto"/>
            <w:left w:val="none" w:sz="0" w:space="0" w:color="auto"/>
            <w:bottom w:val="none" w:sz="0" w:space="0" w:color="auto"/>
            <w:right w:val="none" w:sz="0" w:space="0" w:color="auto"/>
          </w:divBdr>
        </w:div>
        <w:div w:id="230312666">
          <w:marLeft w:val="0"/>
          <w:marRight w:val="0"/>
          <w:marTop w:val="0"/>
          <w:marBottom w:val="0"/>
          <w:divBdr>
            <w:top w:val="none" w:sz="0" w:space="0" w:color="auto"/>
            <w:left w:val="none" w:sz="0" w:space="0" w:color="auto"/>
            <w:bottom w:val="none" w:sz="0" w:space="0" w:color="auto"/>
            <w:right w:val="none" w:sz="0" w:space="0" w:color="auto"/>
          </w:divBdr>
        </w:div>
        <w:div w:id="576137772">
          <w:marLeft w:val="0"/>
          <w:marRight w:val="0"/>
          <w:marTop w:val="0"/>
          <w:marBottom w:val="0"/>
          <w:divBdr>
            <w:top w:val="none" w:sz="0" w:space="0" w:color="auto"/>
            <w:left w:val="none" w:sz="0" w:space="0" w:color="auto"/>
            <w:bottom w:val="none" w:sz="0" w:space="0" w:color="auto"/>
            <w:right w:val="none" w:sz="0" w:space="0" w:color="auto"/>
          </w:divBdr>
        </w:div>
        <w:div w:id="1792935779">
          <w:marLeft w:val="0"/>
          <w:marRight w:val="0"/>
          <w:marTop w:val="0"/>
          <w:marBottom w:val="0"/>
          <w:divBdr>
            <w:top w:val="none" w:sz="0" w:space="0" w:color="auto"/>
            <w:left w:val="none" w:sz="0" w:space="0" w:color="auto"/>
            <w:bottom w:val="none" w:sz="0" w:space="0" w:color="auto"/>
            <w:right w:val="none" w:sz="0" w:space="0" w:color="auto"/>
          </w:divBdr>
        </w:div>
        <w:div w:id="1957061653">
          <w:marLeft w:val="0"/>
          <w:marRight w:val="0"/>
          <w:marTop w:val="0"/>
          <w:marBottom w:val="0"/>
          <w:divBdr>
            <w:top w:val="none" w:sz="0" w:space="0" w:color="auto"/>
            <w:left w:val="none" w:sz="0" w:space="0" w:color="auto"/>
            <w:bottom w:val="none" w:sz="0" w:space="0" w:color="auto"/>
            <w:right w:val="none" w:sz="0" w:space="0" w:color="auto"/>
          </w:divBdr>
        </w:div>
        <w:div w:id="667368816">
          <w:marLeft w:val="0"/>
          <w:marRight w:val="0"/>
          <w:marTop w:val="0"/>
          <w:marBottom w:val="0"/>
          <w:divBdr>
            <w:top w:val="none" w:sz="0" w:space="0" w:color="auto"/>
            <w:left w:val="none" w:sz="0" w:space="0" w:color="auto"/>
            <w:bottom w:val="none" w:sz="0" w:space="0" w:color="auto"/>
            <w:right w:val="none" w:sz="0" w:space="0" w:color="auto"/>
          </w:divBdr>
        </w:div>
        <w:div w:id="247736085">
          <w:marLeft w:val="0"/>
          <w:marRight w:val="0"/>
          <w:marTop w:val="0"/>
          <w:marBottom w:val="0"/>
          <w:divBdr>
            <w:top w:val="none" w:sz="0" w:space="0" w:color="auto"/>
            <w:left w:val="none" w:sz="0" w:space="0" w:color="auto"/>
            <w:bottom w:val="none" w:sz="0" w:space="0" w:color="auto"/>
            <w:right w:val="none" w:sz="0" w:space="0" w:color="auto"/>
          </w:divBdr>
        </w:div>
        <w:div w:id="1834955157">
          <w:marLeft w:val="0"/>
          <w:marRight w:val="0"/>
          <w:marTop w:val="0"/>
          <w:marBottom w:val="0"/>
          <w:divBdr>
            <w:top w:val="none" w:sz="0" w:space="0" w:color="auto"/>
            <w:left w:val="none" w:sz="0" w:space="0" w:color="auto"/>
            <w:bottom w:val="none" w:sz="0" w:space="0" w:color="auto"/>
            <w:right w:val="none" w:sz="0" w:space="0" w:color="auto"/>
          </w:divBdr>
        </w:div>
        <w:div w:id="1222986955">
          <w:marLeft w:val="0"/>
          <w:marRight w:val="0"/>
          <w:marTop w:val="0"/>
          <w:marBottom w:val="0"/>
          <w:divBdr>
            <w:top w:val="none" w:sz="0" w:space="0" w:color="auto"/>
            <w:left w:val="none" w:sz="0" w:space="0" w:color="auto"/>
            <w:bottom w:val="none" w:sz="0" w:space="0" w:color="auto"/>
            <w:right w:val="none" w:sz="0" w:space="0" w:color="auto"/>
          </w:divBdr>
        </w:div>
        <w:div w:id="875849108">
          <w:marLeft w:val="0"/>
          <w:marRight w:val="0"/>
          <w:marTop w:val="0"/>
          <w:marBottom w:val="0"/>
          <w:divBdr>
            <w:top w:val="none" w:sz="0" w:space="0" w:color="auto"/>
            <w:left w:val="none" w:sz="0" w:space="0" w:color="auto"/>
            <w:bottom w:val="none" w:sz="0" w:space="0" w:color="auto"/>
            <w:right w:val="none" w:sz="0" w:space="0" w:color="auto"/>
          </w:divBdr>
        </w:div>
        <w:div w:id="272254179">
          <w:marLeft w:val="0"/>
          <w:marRight w:val="0"/>
          <w:marTop w:val="0"/>
          <w:marBottom w:val="0"/>
          <w:divBdr>
            <w:top w:val="none" w:sz="0" w:space="0" w:color="auto"/>
            <w:left w:val="none" w:sz="0" w:space="0" w:color="auto"/>
            <w:bottom w:val="none" w:sz="0" w:space="0" w:color="auto"/>
            <w:right w:val="none" w:sz="0" w:space="0" w:color="auto"/>
          </w:divBdr>
        </w:div>
        <w:div w:id="1236164872">
          <w:marLeft w:val="0"/>
          <w:marRight w:val="0"/>
          <w:marTop w:val="0"/>
          <w:marBottom w:val="0"/>
          <w:divBdr>
            <w:top w:val="none" w:sz="0" w:space="0" w:color="auto"/>
            <w:left w:val="none" w:sz="0" w:space="0" w:color="auto"/>
            <w:bottom w:val="none" w:sz="0" w:space="0" w:color="auto"/>
            <w:right w:val="none" w:sz="0" w:space="0" w:color="auto"/>
          </w:divBdr>
        </w:div>
        <w:div w:id="415369031">
          <w:marLeft w:val="0"/>
          <w:marRight w:val="0"/>
          <w:marTop w:val="0"/>
          <w:marBottom w:val="0"/>
          <w:divBdr>
            <w:top w:val="none" w:sz="0" w:space="0" w:color="auto"/>
            <w:left w:val="none" w:sz="0" w:space="0" w:color="auto"/>
            <w:bottom w:val="none" w:sz="0" w:space="0" w:color="auto"/>
            <w:right w:val="none" w:sz="0" w:space="0" w:color="auto"/>
          </w:divBdr>
        </w:div>
      </w:divsChild>
    </w:div>
    <w:div w:id="1184979959">
      <w:bodyDiv w:val="1"/>
      <w:marLeft w:val="0"/>
      <w:marRight w:val="0"/>
      <w:marTop w:val="0"/>
      <w:marBottom w:val="0"/>
      <w:divBdr>
        <w:top w:val="none" w:sz="0" w:space="0" w:color="auto"/>
        <w:left w:val="none" w:sz="0" w:space="0" w:color="auto"/>
        <w:bottom w:val="none" w:sz="0" w:space="0" w:color="auto"/>
        <w:right w:val="none" w:sz="0" w:space="0" w:color="auto"/>
      </w:divBdr>
      <w:divsChild>
        <w:div w:id="805852495">
          <w:marLeft w:val="0"/>
          <w:marRight w:val="0"/>
          <w:marTop w:val="0"/>
          <w:marBottom w:val="0"/>
          <w:divBdr>
            <w:top w:val="none" w:sz="0" w:space="0" w:color="auto"/>
            <w:left w:val="none" w:sz="0" w:space="0" w:color="auto"/>
            <w:bottom w:val="none" w:sz="0" w:space="0" w:color="auto"/>
            <w:right w:val="none" w:sz="0" w:space="0" w:color="auto"/>
          </w:divBdr>
        </w:div>
        <w:div w:id="1385372733">
          <w:marLeft w:val="0"/>
          <w:marRight w:val="0"/>
          <w:marTop w:val="0"/>
          <w:marBottom w:val="0"/>
          <w:divBdr>
            <w:top w:val="none" w:sz="0" w:space="0" w:color="auto"/>
            <w:left w:val="none" w:sz="0" w:space="0" w:color="auto"/>
            <w:bottom w:val="none" w:sz="0" w:space="0" w:color="auto"/>
            <w:right w:val="none" w:sz="0" w:space="0" w:color="auto"/>
          </w:divBdr>
        </w:div>
        <w:div w:id="1723209975">
          <w:marLeft w:val="0"/>
          <w:marRight w:val="0"/>
          <w:marTop w:val="0"/>
          <w:marBottom w:val="0"/>
          <w:divBdr>
            <w:top w:val="none" w:sz="0" w:space="0" w:color="auto"/>
            <w:left w:val="none" w:sz="0" w:space="0" w:color="auto"/>
            <w:bottom w:val="none" w:sz="0" w:space="0" w:color="auto"/>
            <w:right w:val="none" w:sz="0" w:space="0" w:color="auto"/>
          </w:divBdr>
        </w:div>
      </w:divsChild>
    </w:div>
    <w:div w:id="1247575497">
      <w:bodyDiv w:val="1"/>
      <w:marLeft w:val="0"/>
      <w:marRight w:val="0"/>
      <w:marTop w:val="0"/>
      <w:marBottom w:val="0"/>
      <w:divBdr>
        <w:top w:val="none" w:sz="0" w:space="0" w:color="auto"/>
        <w:left w:val="none" w:sz="0" w:space="0" w:color="auto"/>
        <w:bottom w:val="none" w:sz="0" w:space="0" w:color="auto"/>
        <w:right w:val="none" w:sz="0" w:space="0" w:color="auto"/>
      </w:divBdr>
      <w:divsChild>
        <w:div w:id="1399209291">
          <w:marLeft w:val="0"/>
          <w:marRight w:val="0"/>
          <w:marTop w:val="0"/>
          <w:marBottom w:val="0"/>
          <w:divBdr>
            <w:top w:val="none" w:sz="0" w:space="0" w:color="auto"/>
            <w:left w:val="none" w:sz="0" w:space="0" w:color="auto"/>
            <w:bottom w:val="none" w:sz="0" w:space="0" w:color="auto"/>
            <w:right w:val="none" w:sz="0" w:space="0" w:color="auto"/>
          </w:divBdr>
        </w:div>
        <w:div w:id="54014159">
          <w:marLeft w:val="0"/>
          <w:marRight w:val="0"/>
          <w:marTop w:val="0"/>
          <w:marBottom w:val="0"/>
          <w:divBdr>
            <w:top w:val="none" w:sz="0" w:space="0" w:color="auto"/>
            <w:left w:val="none" w:sz="0" w:space="0" w:color="auto"/>
            <w:bottom w:val="none" w:sz="0" w:space="0" w:color="auto"/>
            <w:right w:val="none" w:sz="0" w:space="0" w:color="auto"/>
          </w:divBdr>
        </w:div>
        <w:div w:id="21518708">
          <w:marLeft w:val="0"/>
          <w:marRight w:val="0"/>
          <w:marTop w:val="0"/>
          <w:marBottom w:val="0"/>
          <w:divBdr>
            <w:top w:val="none" w:sz="0" w:space="0" w:color="auto"/>
            <w:left w:val="none" w:sz="0" w:space="0" w:color="auto"/>
            <w:bottom w:val="none" w:sz="0" w:space="0" w:color="auto"/>
            <w:right w:val="none" w:sz="0" w:space="0" w:color="auto"/>
          </w:divBdr>
        </w:div>
      </w:divsChild>
    </w:div>
    <w:div w:id="1265654981">
      <w:bodyDiv w:val="1"/>
      <w:marLeft w:val="0"/>
      <w:marRight w:val="0"/>
      <w:marTop w:val="0"/>
      <w:marBottom w:val="0"/>
      <w:divBdr>
        <w:top w:val="none" w:sz="0" w:space="0" w:color="auto"/>
        <w:left w:val="none" w:sz="0" w:space="0" w:color="auto"/>
        <w:bottom w:val="none" w:sz="0" w:space="0" w:color="auto"/>
        <w:right w:val="none" w:sz="0" w:space="0" w:color="auto"/>
      </w:divBdr>
    </w:div>
    <w:div w:id="1508985655">
      <w:bodyDiv w:val="1"/>
      <w:marLeft w:val="0"/>
      <w:marRight w:val="0"/>
      <w:marTop w:val="0"/>
      <w:marBottom w:val="0"/>
      <w:divBdr>
        <w:top w:val="none" w:sz="0" w:space="0" w:color="auto"/>
        <w:left w:val="none" w:sz="0" w:space="0" w:color="auto"/>
        <w:bottom w:val="none" w:sz="0" w:space="0" w:color="auto"/>
        <w:right w:val="none" w:sz="0" w:space="0" w:color="auto"/>
      </w:divBdr>
    </w:div>
    <w:div w:id="1694528391">
      <w:bodyDiv w:val="1"/>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
        <w:div w:id="644510918">
          <w:marLeft w:val="0"/>
          <w:marRight w:val="0"/>
          <w:marTop w:val="0"/>
          <w:marBottom w:val="0"/>
          <w:divBdr>
            <w:top w:val="none" w:sz="0" w:space="0" w:color="auto"/>
            <w:left w:val="none" w:sz="0" w:space="0" w:color="auto"/>
            <w:bottom w:val="none" w:sz="0" w:space="0" w:color="auto"/>
            <w:right w:val="none" w:sz="0" w:space="0" w:color="auto"/>
          </w:divBdr>
        </w:div>
        <w:div w:id="2115248048">
          <w:marLeft w:val="0"/>
          <w:marRight w:val="0"/>
          <w:marTop w:val="0"/>
          <w:marBottom w:val="0"/>
          <w:divBdr>
            <w:top w:val="none" w:sz="0" w:space="0" w:color="auto"/>
            <w:left w:val="none" w:sz="0" w:space="0" w:color="auto"/>
            <w:bottom w:val="none" w:sz="0" w:space="0" w:color="auto"/>
            <w:right w:val="none" w:sz="0" w:space="0" w:color="auto"/>
          </w:divBdr>
        </w:div>
        <w:div w:id="635179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seka.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868E1-5567-41B9-BF04-F68E6656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482</Words>
  <Characters>2751</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Seka S.A.</dc:creator>
  <cp:lastModifiedBy>Jacek Baj</cp:lastModifiedBy>
  <cp:revision>3</cp:revision>
  <cp:lastPrinted>2023-10-05T10:05:00Z</cp:lastPrinted>
  <dcterms:created xsi:type="dcterms:W3CDTF">2023-10-06T10:02:00Z</dcterms:created>
  <dcterms:modified xsi:type="dcterms:W3CDTF">2023-10-06T10:03:00Z</dcterms:modified>
</cp:coreProperties>
</file>